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7DC" w:rsidRPr="00F2174E" w:rsidRDefault="00F757DC" w:rsidP="00F757DC">
      <w:pPr>
        <w:spacing w:after="0" w:line="240" w:lineRule="auto"/>
        <w:ind w:left="9214"/>
        <w:rPr>
          <w:rFonts w:ascii="Verdana" w:eastAsia="Times New Roman" w:hAnsi="Verdana"/>
          <w:b/>
          <w:kern w:val="1"/>
          <w:lang w:eastAsia="ru-RU"/>
        </w:rPr>
      </w:pPr>
      <w:bookmarkStart w:id="0" w:name="_GoBack"/>
      <w:bookmarkEnd w:id="0"/>
      <w:r w:rsidRPr="00F2174E">
        <w:rPr>
          <w:rFonts w:ascii="Verdana" w:eastAsia="Times New Roman" w:hAnsi="Verdana"/>
          <w:b/>
          <w:kern w:val="1"/>
          <w:lang w:eastAsia="ru-RU"/>
        </w:rPr>
        <w:t>Приложение № 24.1</w:t>
      </w:r>
    </w:p>
    <w:p w:rsidR="00F757DC" w:rsidRPr="00F2174E" w:rsidRDefault="00F757DC" w:rsidP="00F757DC">
      <w:pPr>
        <w:ind w:left="9214"/>
        <w:rPr>
          <w:rFonts w:ascii="Verdana" w:eastAsia="Times New Roman" w:hAnsi="Verdana"/>
          <w:kern w:val="24"/>
          <w:lang w:eastAsia="ru-RU"/>
        </w:rPr>
      </w:pPr>
      <w:r w:rsidRPr="00F2174E">
        <w:rPr>
          <w:rFonts w:ascii="Verdana" w:eastAsia="Times New Roman" w:hAnsi="Verdana"/>
          <w:kern w:val="24"/>
          <w:lang w:eastAsia="ru-RU"/>
        </w:rPr>
        <w:t>к Правилам взаимодействия банков и организаций с акционерным обществом «Федеральная корпорация по развитию малого и среднего предпринимательства» при их отборе и предоставлении независимых гарантий</w:t>
      </w:r>
    </w:p>
    <w:p w:rsidR="00C24D46" w:rsidRDefault="00C24D46" w:rsidP="00757B61">
      <w:pPr>
        <w:pStyle w:val="a3"/>
        <w:tabs>
          <w:tab w:val="left" w:pos="1418"/>
        </w:tabs>
        <w:spacing w:line="300" w:lineRule="auto"/>
        <w:ind w:left="709" w:right="40" w:firstLine="0"/>
        <w:contextualSpacing/>
        <w:jc w:val="center"/>
        <w:rPr>
          <w:rFonts w:ascii="Verdana" w:hAnsi="Verdana"/>
          <w:b/>
        </w:rPr>
      </w:pPr>
    </w:p>
    <w:p w:rsidR="008820D6" w:rsidRDefault="0010559E" w:rsidP="00757B61">
      <w:pPr>
        <w:pStyle w:val="a3"/>
        <w:tabs>
          <w:tab w:val="left" w:pos="1418"/>
        </w:tabs>
        <w:spacing w:line="300" w:lineRule="auto"/>
        <w:ind w:left="709" w:right="40" w:firstLine="0"/>
        <w:contextualSpacing/>
        <w:jc w:val="center"/>
        <w:rPr>
          <w:rFonts w:ascii="Verdana" w:hAnsi="Verdana"/>
          <w:b/>
        </w:rPr>
      </w:pPr>
      <w:r w:rsidRPr="004D7450">
        <w:rPr>
          <w:rFonts w:ascii="Verdana" w:hAnsi="Verdana"/>
          <w:b/>
        </w:rPr>
        <w:t>Р</w:t>
      </w:r>
      <w:r w:rsidR="009B7EB7" w:rsidRPr="004D7450">
        <w:rPr>
          <w:rFonts w:ascii="Verdana" w:hAnsi="Verdana"/>
          <w:b/>
        </w:rPr>
        <w:t>иск-метрик</w:t>
      </w:r>
      <w:r w:rsidRPr="004D7450">
        <w:rPr>
          <w:rFonts w:ascii="Verdana" w:hAnsi="Verdana"/>
          <w:b/>
        </w:rPr>
        <w:t>и</w:t>
      </w:r>
      <w:r w:rsidR="009B7EB7" w:rsidRPr="004D7450">
        <w:rPr>
          <w:rFonts w:ascii="Verdana" w:hAnsi="Verdana"/>
          <w:b/>
        </w:rPr>
        <w:t xml:space="preserve"> </w:t>
      </w:r>
      <w:r w:rsidR="001F51E7">
        <w:rPr>
          <w:rFonts w:ascii="Verdana" w:hAnsi="Verdana"/>
          <w:b/>
        </w:rPr>
        <w:t>П</w:t>
      </w:r>
      <w:r w:rsidR="00C24D46">
        <w:rPr>
          <w:rFonts w:ascii="Verdana" w:hAnsi="Verdana"/>
          <w:b/>
        </w:rPr>
        <w:t>роектно</w:t>
      </w:r>
      <w:r w:rsidR="00346BBB">
        <w:rPr>
          <w:rFonts w:ascii="Verdana" w:hAnsi="Verdana"/>
          <w:b/>
        </w:rPr>
        <w:t>го</w:t>
      </w:r>
      <w:r w:rsidR="00C24D46">
        <w:rPr>
          <w:rFonts w:ascii="Verdana" w:hAnsi="Verdana"/>
          <w:b/>
        </w:rPr>
        <w:t xml:space="preserve"> финансировани</w:t>
      </w:r>
      <w:r w:rsidR="00346BBB">
        <w:rPr>
          <w:rFonts w:ascii="Verdana" w:hAnsi="Verdana"/>
          <w:b/>
        </w:rPr>
        <w:t>я</w:t>
      </w:r>
      <w:r w:rsidR="008820D6" w:rsidRPr="004D7450">
        <w:rPr>
          <w:rFonts w:ascii="Verdana" w:hAnsi="Verdana"/>
          <w:b/>
        </w:rPr>
        <w:t xml:space="preserve"> </w:t>
      </w:r>
    </w:p>
    <w:p w:rsidR="00214205" w:rsidRPr="004D7450" w:rsidRDefault="00214205" w:rsidP="004D7450">
      <w:pPr>
        <w:pStyle w:val="a3"/>
        <w:tabs>
          <w:tab w:val="left" w:pos="1418"/>
        </w:tabs>
        <w:spacing w:line="300" w:lineRule="auto"/>
        <w:ind w:left="709" w:right="40" w:firstLine="0"/>
        <w:contextualSpacing/>
        <w:jc w:val="center"/>
        <w:rPr>
          <w:rFonts w:ascii="Verdana" w:hAnsi="Verdana"/>
          <w:b/>
        </w:rPr>
      </w:pP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
        <w:gridCol w:w="2238"/>
        <w:gridCol w:w="709"/>
        <w:gridCol w:w="4545"/>
        <w:gridCol w:w="3953"/>
        <w:gridCol w:w="3373"/>
      </w:tblGrid>
      <w:tr w:rsidR="00214205" w:rsidRPr="00EF41D4" w:rsidTr="00B20C83">
        <w:trPr>
          <w:trHeight w:val="384"/>
        </w:trPr>
        <w:tc>
          <w:tcPr>
            <w:tcW w:w="194" w:type="pct"/>
            <w:shd w:val="clear" w:color="auto" w:fill="D5DCE4" w:themeFill="text2" w:themeFillTint="33"/>
            <w:noWrap/>
            <w:hideMark/>
          </w:tcPr>
          <w:p w:rsidR="00214205" w:rsidRPr="00EF41D4" w:rsidRDefault="00214205" w:rsidP="004D7450">
            <w:pPr>
              <w:spacing w:after="0" w:line="300" w:lineRule="auto"/>
              <w:contextualSpacing/>
              <w:rPr>
                <w:rFonts w:ascii="Verdana" w:eastAsia="Times New Roman" w:hAnsi="Verdana"/>
                <w:b/>
                <w:bCs/>
                <w:color w:val="000000"/>
                <w:lang w:eastAsia="ru-RU"/>
              </w:rPr>
            </w:pPr>
            <w:r w:rsidRPr="00EF41D4">
              <w:rPr>
                <w:rFonts w:ascii="Verdana" w:eastAsia="Times New Roman" w:hAnsi="Verdana"/>
                <w:b/>
                <w:bCs/>
                <w:color w:val="000000"/>
                <w:lang w:eastAsia="ru-RU"/>
              </w:rPr>
              <w:t>№</w:t>
            </w:r>
          </w:p>
        </w:tc>
        <w:tc>
          <w:tcPr>
            <w:tcW w:w="726" w:type="pct"/>
            <w:shd w:val="clear" w:color="auto" w:fill="D5DCE4" w:themeFill="text2" w:themeFillTint="33"/>
            <w:hideMark/>
          </w:tcPr>
          <w:p w:rsidR="00214205" w:rsidRPr="00EF41D4" w:rsidRDefault="00EC7CB1" w:rsidP="00B20C83">
            <w:pPr>
              <w:spacing w:after="0" w:line="300" w:lineRule="auto"/>
              <w:contextualSpacing/>
              <w:rPr>
                <w:rFonts w:ascii="Verdana" w:eastAsia="Times New Roman" w:hAnsi="Verdana"/>
                <w:b/>
                <w:bCs/>
                <w:color w:val="000000"/>
                <w:lang w:eastAsia="ru-RU"/>
              </w:rPr>
            </w:pPr>
            <w:r>
              <w:rPr>
                <w:rFonts w:ascii="Verdana" w:eastAsia="Times New Roman" w:hAnsi="Verdana"/>
                <w:b/>
                <w:bCs/>
                <w:color w:val="000000"/>
                <w:lang w:eastAsia="ru-RU"/>
              </w:rPr>
              <w:t>Тип сделки</w:t>
            </w:r>
          </w:p>
        </w:tc>
        <w:tc>
          <w:tcPr>
            <w:tcW w:w="1704" w:type="pct"/>
            <w:gridSpan w:val="2"/>
            <w:shd w:val="clear" w:color="auto" w:fill="D5DCE4" w:themeFill="text2" w:themeFillTint="33"/>
            <w:noWrap/>
            <w:hideMark/>
          </w:tcPr>
          <w:p w:rsidR="00214205" w:rsidRPr="00EF41D4" w:rsidRDefault="00214205" w:rsidP="004D7450">
            <w:pPr>
              <w:spacing w:after="0" w:line="300" w:lineRule="auto"/>
              <w:contextualSpacing/>
              <w:jc w:val="center"/>
              <w:rPr>
                <w:rFonts w:ascii="Verdana" w:eastAsia="Times New Roman" w:hAnsi="Verdana"/>
                <w:b/>
                <w:bCs/>
                <w:color w:val="000000"/>
                <w:lang w:eastAsia="ru-RU"/>
              </w:rPr>
            </w:pPr>
            <w:r w:rsidRPr="00EF41D4">
              <w:rPr>
                <w:rFonts w:ascii="Verdana" w:eastAsia="Times New Roman" w:hAnsi="Verdana"/>
                <w:b/>
                <w:bCs/>
                <w:color w:val="000000"/>
                <w:lang w:eastAsia="ru-RU"/>
              </w:rPr>
              <w:t>Показатель</w:t>
            </w:r>
            <w:r w:rsidRPr="00EF41D4">
              <w:rPr>
                <w:rStyle w:val="a8"/>
                <w:rFonts w:ascii="Verdana" w:eastAsia="Times New Roman" w:hAnsi="Verdana"/>
                <w:b/>
                <w:bCs/>
                <w:color w:val="000000"/>
                <w:lang w:eastAsia="ru-RU"/>
              </w:rPr>
              <w:footnoteReference w:id="1"/>
            </w:r>
          </w:p>
        </w:tc>
        <w:tc>
          <w:tcPr>
            <w:tcW w:w="1282" w:type="pct"/>
            <w:shd w:val="clear" w:color="auto" w:fill="D5DCE4" w:themeFill="text2" w:themeFillTint="33"/>
            <w:noWrap/>
            <w:hideMark/>
          </w:tcPr>
          <w:p w:rsidR="00214205" w:rsidRPr="00EF41D4" w:rsidRDefault="00214205" w:rsidP="004D7450">
            <w:pPr>
              <w:spacing w:after="0" w:line="300" w:lineRule="auto"/>
              <w:contextualSpacing/>
              <w:jc w:val="center"/>
              <w:rPr>
                <w:rFonts w:ascii="Verdana" w:eastAsia="Times New Roman" w:hAnsi="Verdana"/>
                <w:b/>
                <w:bCs/>
                <w:color w:val="000000"/>
                <w:lang w:eastAsia="ru-RU"/>
              </w:rPr>
            </w:pPr>
            <w:r w:rsidRPr="00EF41D4">
              <w:rPr>
                <w:rFonts w:ascii="Verdana" w:eastAsia="Times New Roman" w:hAnsi="Verdana"/>
                <w:b/>
                <w:bCs/>
                <w:color w:val="000000"/>
                <w:lang w:eastAsia="ru-RU"/>
              </w:rPr>
              <w:t>Целевое значение показателя</w:t>
            </w:r>
          </w:p>
        </w:tc>
        <w:tc>
          <w:tcPr>
            <w:tcW w:w="1094" w:type="pct"/>
            <w:shd w:val="clear" w:color="auto" w:fill="D5DCE4" w:themeFill="text2" w:themeFillTint="33"/>
            <w:hideMark/>
          </w:tcPr>
          <w:p w:rsidR="00214205" w:rsidRPr="00EF41D4" w:rsidRDefault="00214205" w:rsidP="004D7450">
            <w:pPr>
              <w:spacing w:after="0" w:line="300" w:lineRule="auto"/>
              <w:contextualSpacing/>
              <w:jc w:val="center"/>
              <w:rPr>
                <w:rFonts w:ascii="Verdana" w:eastAsia="Times New Roman" w:hAnsi="Verdana"/>
                <w:b/>
                <w:bCs/>
                <w:color w:val="000000"/>
                <w:lang w:eastAsia="ru-RU"/>
              </w:rPr>
            </w:pPr>
            <w:r w:rsidRPr="00EF41D4">
              <w:rPr>
                <w:rFonts w:ascii="Verdana" w:eastAsia="Times New Roman" w:hAnsi="Verdana"/>
                <w:b/>
                <w:bCs/>
                <w:color w:val="000000"/>
                <w:lang w:eastAsia="ru-RU"/>
              </w:rPr>
              <w:t>Расчетное значение показателя</w:t>
            </w:r>
          </w:p>
        </w:tc>
      </w:tr>
      <w:tr w:rsidR="00DE20D7" w:rsidRPr="00EF41D4" w:rsidTr="00EC7CB1">
        <w:trPr>
          <w:trHeight w:val="110"/>
        </w:trPr>
        <w:tc>
          <w:tcPr>
            <w:tcW w:w="194" w:type="pct"/>
            <w:vMerge w:val="restart"/>
            <w:noWrap/>
            <w:vAlign w:val="center"/>
            <w:hideMark/>
          </w:tcPr>
          <w:p w:rsidR="00214205" w:rsidRPr="00EF41D4" w:rsidRDefault="00214205" w:rsidP="004D7450">
            <w:pPr>
              <w:spacing w:after="0" w:line="300" w:lineRule="auto"/>
              <w:contextualSpacing/>
              <w:jc w:val="both"/>
              <w:rPr>
                <w:rFonts w:ascii="Verdana" w:eastAsia="Times New Roman" w:hAnsi="Verdana"/>
                <w:color w:val="000000"/>
                <w:lang w:eastAsia="ru-RU"/>
              </w:rPr>
            </w:pPr>
            <w:r w:rsidRPr="00EF41D4">
              <w:rPr>
                <w:rFonts w:ascii="Verdana" w:eastAsia="Times New Roman" w:hAnsi="Verdana"/>
                <w:color w:val="000000"/>
                <w:lang w:eastAsia="ru-RU"/>
              </w:rPr>
              <w:t>   </w:t>
            </w:r>
          </w:p>
        </w:tc>
        <w:tc>
          <w:tcPr>
            <w:tcW w:w="726" w:type="pct"/>
            <w:vMerge w:val="restart"/>
            <w:noWrap/>
            <w:vAlign w:val="center"/>
            <w:hideMark/>
          </w:tcPr>
          <w:p w:rsidR="00214205" w:rsidRPr="00EF41D4" w:rsidRDefault="00214205" w:rsidP="004D7450">
            <w:pPr>
              <w:spacing w:after="0" w:line="300" w:lineRule="auto"/>
              <w:contextualSpacing/>
              <w:jc w:val="both"/>
              <w:rPr>
                <w:rFonts w:ascii="Verdana" w:eastAsia="Times New Roman" w:hAnsi="Verdana"/>
                <w:color w:val="000000"/>
                <w:lang w:eastAsia="ru-RU"/>
              </w:rPr>
            </w:pPr>
            <w:r w:rsidRPr="00EF41D4">
              <w:rPr>
                <w:rFonts w:ascii="Verdana" w:eastAsia="Times New Roman" w:hAnsi="Verdana"/>
                <w:color w:val="000000"/>
                <w:lang w:eastAsia="ru-RU"/>
              </w:rPr>
              <w:t>Проектное финансирование</w:t>
            </w:r>
          </w:p>
        </w:tc>
        <w:tc>
          <w:tcPr>
            <w:tcW w:w="230" w:type="pct"/>
            <w:noWrap/>
            <w:hideMark/>
          </w:tcPr>
          <w:p w:rsidR="00214205" w:rsidRPr="00EF41D4" w:rsidRDefault="00C24D46" w:rsidP="004D7450">
            <w:pPr>
              <w:spacing w:after="0" w:line="300" w:lineRule="auto"/>
              <w:contextualSpacing/>
              <w:jc w:val="both"/>
              <w:rPr>
                <w:rFonts w:ascii="Verdana" w:eastAsia="Times New Roman" w:hAnsi="Verdana"/>
                <w:color w:val="000000"/>
                <w:lang w:eastAsia="ru-RU"/>
              </w:rPr>
            </w:pPr>
            <w:r>
              <w:rPr>
                <w:rFonts w:ascii="Verdana" w:eastAsia="Times New Roman" w:hAnsi="Verdana"/>
                <w:color w:val="000000"/>
                <w:lang w:eastAsia="ru-RU"/>
              </w:rPr>
              <w:t>1</w:t>
            </w:r>
            <w:r w:rsidR="00214205" w:rsidRPr="00EF41D4">
              <w:rPr>
                <w:rFonts w:ascii="Verdana" w:eastAsia="Times New Roman" w:hAnsi="Verdana"/>
                <w:color w:val="000000"/>
                <w:lang w:eastAsia="ru-RU"/>
              </w:rPr>
              <w:t>.1</w:t>
            </w:r>
          </w:p>
        </w:tc>
        <w:tc>
          <w:tcPr>
            <w:tcW w:w="1474" w:type="pct"/>
            <w:noWrap/>
            <w:hideMark/>
          </w:tcPr>
          <w:p w:rsidR="00214205" w:rsidRPr="00EF41D4" w:rsidRDefault="00214205">
            <w:pPr>
              <w:spacing w:after="0" w:line="300" w:lineRule="auto"/>
              <w:contextualSpacing/>
              <w:jc w:val="both"/>
              <w:rPr>
                <w:rFonts w:ascii="Verdana" w:eastAsia="Times New Roman" w:hAnsi="Verdana"/>
                <w:color w:val="000000"/>
                <w:lang w:eastAsia="ru-RU"/>
              </w:rPr>
            </w:pPr>
            <w:r w:rsidRPr="00EF41D4">
              <w:rPr>
                <w:rFonts w:ascii="Verdana" w:eastAsia="Times New Roman" w:hAnsi="Verdana"/>
                <w:color w:val="000000"/>
                <w:lang w:eastAsia="ru-RU"/>
              </w:rPr>
              <w:t>DSCR</w:t>
            </w:r>
            <w:r w:rsidR="00C24D46">
              <w:rPr>
                <w:rStyle w:val="a8"/>
                <w:rFonts w:ascii="Verdana" w:eastAsia="Times New Roman" w:hAnsi="Verdana"/>
                <w:color w:val="000000"/>
                <w:lang w:eastAsia="ru-RU"/>
              </w:rPr>
              <w:footnoteReference w:customMarkFollows="1" w:id="2"/>
              <w:t>2</w:t>
            </w:r>
          </w:p>
        </w:tc>
        <w:tc>
          <w:tcPr>
            <w:tcW w:w="1282" w:type="pct"/>
            <w:hideMark/>
          </w:tcPr>
          <w:p w:rsidR="00214205" w:rsidRPr="00EF41D4" w:rsidRDefault="00214205" w:rsidP="00F06BC9">
            <w:pPr>
              <w:spacing w:after="0" w:line="300" w:lineRule="auto"/>
              <w:contextualSpacing/>
              <w:jc w:val="both"/>
              <w:rPr>
                <w:rFonts w:ascii="Verdana" w:eastAsia="Times New Roman" w:hAnsi="Verdana"/>
                <w:color w:val="000000"/>
                <w:highlight w:val="yellow"/>
                <w:lang w:eastAsia="ru-RU"/>
              </w:rPr>
            </w:pPr>
            <w:r w:rsidRPr="00EF41D4">
              <w:rPr>
                <w:rFonts w:ascii="Verdana" w:eastAsia="Times New Roman" w:hAnsi="Verdana"/>
                <w:color w:val="000000"/>
                <w:lang w:eastAsia="ru-RU"/>
              </w:rPr>
              <w:t>не менее 1,2</w:t>
            </w:r>
            <w:r w:rsidR="00F06BC9">
              <w:rPr>
                <w:rFonts w:ascii="Verdana" w:eastAsia="Times New Roman" w:hAnsi="Verdana"/>
                <w:color w:val="000000"/>
                <w:lang w:eastAsia="ru-RU"/>
              </w:rPr>
              <w:t>0</w:t>
            </w:r>
            <w:r w:rsidRPr="00EF41D4">
              <w:rPr>
                <w:rFonts w:ascii="Verdana" w:eastAsia="Times New Roman" w:hAnsi="Verdana"/>
                <w:color w:val="000000"/>
                <w:lang w:eastAsia="ru-RU"/>
              </w:rPr>
              <w:t xml:space="preserve"> </w:t>
            </w:r>
          </w:p>
        </w:tc>
        <w:tc>
          <w:tcPr>
            <w:tcW w:w="1094" w:type="pct"/>
            <w:noWrap/>
          </w:tcPr>
          <w:p w:rsidR="00214205" w:rsidRPr="00EF41D4" w:rsidRDefault="00214205" w:rsidP="004D7450">
            <w:pPr>
              <w:spacing w:after="0" w:line="300" w:lineRule="auto"/>
              <w:contextualSpacing/>
              <w:jc w:val="both"/>
              <w:rPr>
                <w:rFonts w:ascii="Verdana" w:eastAsia="Times New Roman" w:hAnsi="Verdana"/>
                <w:color w:val="000000"/>
                <w:lang w:eastAsia="ru-RU"/>
              </w:rPr>
            </w:pPr>
          </w:p>
        </w:tc>
      </w:tr>
      <w:tr w:rsidR="00DE20D7" w:rsidRPr="00EF41D4" w:rsidTr="00B20C83">
        <w:trPr>
          <w:trHeight w:val="110"/>
        </w:trPr>
        <w:tc>
          <w:tcPr>
            <w:tcW w:w="194" w:type="pct"/>
            <w:vMerge/>
            <w:hideMark/>
          </w:tcPr>
          <w:p w:rsidR="00214205" w:rsidRPr="00EF41D4" w:rsidRDefault="00214205" w:rsidP="004D7450">
            <w:pPr>
              <w:spacing w:after="0" w:line="300" w:lineRule="auto"/>
              <w:contextualSpacing/>
              <w:rPr>
                <w:rFonts w:ascii="Verdana" w:eastAsia="Times New Roman" w:hAnsi="Verdana"/>
                <w:color w:val="000000"/>
                <w:lang w:eastAsia="ru-RU"/>
              </w:rPr>
            </w:pPr>
          </w:p>
        </w:tc>
        <w:tc>
          <w:tcPr>
            <w:tcW w:w="726" w:type="pct"/>
            <w:vMerge/>
            <w:hideMark/>
          </w:tcPr>
          <w:p w:rsidR="00214205" w:rsidRPr="00EF41D4" w:rsidRDefault="00214205" w:rsidP="004D7450">
            <w:pPr>
              <w:spacing w:after="0" w:line="300" w:lineRule="auto"/>
              <w:contextualSpacing/>
              <w:rPr>
                <w:rFonts w:ascii="Verdana" w:eastAsia="Times New Roman" w:hAnsi="Verdana"/>
                <w:color w:val="000000"/>
                <w:lang w:eastAsia="ru-RU"/>
              </w:rPr>
            </w:pPr>
          </w:p>
        </w:tc>
        <w:tc>
          <w:tcPr>
            <w:tcW w:w="230" w:type="pct"/>
            <w:noWrap/>
            <w:hideMark/>
          </w:tcPr>
          <w:p w:rsidR="00214205" w:rsidRPr="00EF41D4" w:rsidRDefault="00C24D46" w:rsidP="004D7450">
            <w:pPr>
              <w:spacing w:after="0" w:line="300" w:lineRule="auto"/>
              <w:contextualSpacing/>
              <w:jc w:val="both"/>
              <w:rPr>
                <w:rFonts w:ascii="Verdana" w:eastAsia="Times New Roman" w:hAnsi="Verdana"/>
                <w:color w:val="000000"/>
                <w:lang w:eastAsia="ru-RU"/>
              </w:rPr>
            </w:pPr>
            <w:r>
              <w:rPr>
                <w:rFonts w:ascii="Verdana" w:eastAsia="Times New Roman" w:hAnsi="Verdana"/>
                <w:color w:val="000000"/>
                <w:lang w:eastAsia="ru-RU"/>
              </w:rPr>
              <w:t>1</w:t>
            </w:r>
            <w:r w:rsidR="00214205" w:rsidRPr="00EF41D4">
              <w:rPr>
                <w:rFonts w:ascii="Verdana" w:eastAsia="Times New Roman" w:hAnsi="Verdana"/>
                <w:color w:val="000000"/>
                <w:lang w:eastAsia="ru-RU"/>
              </w:rPr>
              <w:t>.2</w:t>
            </w:r>
          </w:p>
        </w:tc>
        <w:tc>
          <w:tcPr>
            <w:tcW w:w="1474" w:type="pct"/>
            <w:noWrap/>
            <w:hideMark/>
          </w:tcPr>
          <w:p w:rsidR="00214205" w:rsidRPr="00EF41D4" w:rsidRDefault="00EF41D4" w:rsidP="00EF41D4">
            <w:pPr>
              <w:spacing w:after="0" w:line="300" w:lineRule="auto"/>
              <w:contextualSpacing/>
              <w:jc w:val="both"/>
              <w:rPr>
                <w:rFonts w:ascii="Verdana" w:eastAsia="Times New Roman" w:hAnsi="Verdana"/>
                <w:color w:val="0563C1"/>
                <w:u w:val="single"/>
                <w:lang w:eastAsia="ru-RU"/>
              </w:rPr>
            </w:pPr>
            <w:r w:rsidRPr="00EF41D4">
              <w:rPr>
                <w:rFonts w:ascii="Verdana" w:eastAsia="Times New Roman" w:hAnsi="Verdana"/>
                <w:color w:val="000000"/>
                <w:lang w:eastAsia="ru-RU"/>
              </w:rPr>
              <w:t>Доля собственного участия в проекте</w:t>
            </w:r>
          </w:p>
        </w:tc>
        <w:tc>
          <w:tcPr>
            <w:tcW w:w="1282" w:type="pct"/>
            <w:hideMark/>
          </w:tcPr>
          <w:p w:rsidR="00214205" w:rsidRPr="00EF41D4" w:rsidRDefault="00EF41D4" w:rsidP="00214205">
            <w:pPr>
              <w:tabs>
                <w:tab w:val="left" w:pos="1418"/>
              </w:tabs>
              <w:spacing w:after="0" w:line="300" w:lineRule="auto"/>
              <w:ind w:right="40"/>
              <w:contextualSpacing/>
              <w:jc w:val="both"/>
              <w:rPr>
                <w:rFonts w:ascii="Verdana" w:eastAsia="Times New Roman" w:hAnsi="Verdana"/>
                <w:color w:val="000000"/>
                <w:lang w:eastAsia="ru-RU"/>
              </w:rPr>
            </w:pPr>
            <w:r w:rsidRPr="00EF41D4">
              <w:rPr>
                <w:rFonts w:ascii="Verdana" w:eastAsia="Times New Roman" w:hAnsi="Verdana"/>
                <w:color w:val="000000"/>
                <w:lang w:eastAsia="ru-RU"/>
              </w:rPr>
              <w:t>не менее 20%</w:t>
            </w:r>
          </w:p>
        </w:tc>
        <w:tc>
          <w:tcPr>
            <w:tcW w:w="1094" w:type="pct"/>
            <w:noWrap/>
            <w:hideMark/>
          </w:tcPr>
          <w:p w:rsidR="00214205" w:rsidRPr="00EF41D4" w:rsidRDefault="00214205" w:rsidP="004D7450">
            <w:pPr>
              <w:spacing w:after="0" w:line="300" w:lineRule="auto"/>
              <w:contextualSpacing/>
              <w:rPr>
                <w:rFonts w:ascii="Verdana" w:eastAsia="Times New Roman" w:hAnsi="Verdana"/>
                <w:color w:val="000000"/>
                <w:lang w:eastAsia="ru-RU"/>
              </w:rPr>
            </w:pPr>
          </w:p>
        </w:tc>
      </w:tr>
      <w:tr w:rsidR="00DE20D7" w:rsidRPr="00EF41D4" w:rsidTr="00B20C83">
        <w:trPr>
          <w:trHeight w:val="245"/>
        </w:trPr>
        <w:tc>
          <w:tcPr>
            <w:tcW w:w="194" w:type="pct"/>
            <w:vMerge/>
            <w:hideMark/>
          </w:tcPr>
          <w:p w:rsidR="00214205" w:rsidRPr="00EF41D4" w:rsidRDefault="00214205" w:rsidP="004D7450">
            <w:pPr>
              <w:spacing w:after="0" w:line="300" w:lineRule="auto"/>
              <w:contextualSpacing/>
              <w:rPr>
                <w:rFonts w:ascii="Verdana" w:eastAsia="Times New Roman" w:hAnsi="Verdana"/>
                <w:color w:val="000000"/>
                <w:lang w:eastAsia="ru-RU"/>
              </w:rPr>
            </w:pPr>
          </w:p>
        </w:tc>
        <w:tc>
          <w:tcPr>
            <w:tcW w:w="726" w:type="pct"/>
            <w:vMerge/>
            <w:hideMark/>
          </w:tcPr>
          <w:p w:rsidR="00214205" w:rsidRPr="00EF41D4" w:rsidRDefault="00214205" w:rsidP="004D7450">
            <w:pPr>
              <w:spacing w:after="0" w:line="300" w:lineRule="auto"/>
              <w:contextualSpacing/>
              <w:rPr>
                <w:rFonts w:ascii="Verdana" w:eastAsia="Times New Roman" w:hAnsi="Verdana"/>
                <w:color w:val="000000"/>
                <w:lang w:eastAsia="ru-RU"/>
              </w:rPr>
            </w:pPr>
          </w:p>
        </w:tc>
        <w:tc>
          <w:tcPr>
            <w:tcW w:w="230" w:type="pct"/>
            <w:noWrap/>
            <w:hideMark/>
          </w:tcPr>
          <w:p w:rsidR="00214205" w:rsidRPr="00EF41D4" w:rsidRDefault="00C24D46" w:rsidP="004D7450">
            <w:pPr>
              <w:spacing w:after="0" w:line="300" w:lineRule="auto"/>
              <w:contextualSpacing/>
              <w:jc w:val="both"/>
              <w:rPr>
                <w:rFonts w:ascii="Verdana" w:eastAsia="Times New Roman" w:hAnsi="Verdana"/>
                <w:color w:val="000000"/>
                <w:lang w:eastAsia="ru-RU"/>
              </w:rPr>
            </w:pPr>
            <w:r>
              <w:rPr>
                <w:rFonts w:ascii="Verdana" w:eastAsia="Times New Roman" w:hAnsi="Verdana"/>
                <w:color w:val="000000"/>
                <w:lang w:eastAsia="ru-RU"/>
              </w:rPr>
              <w:t>1</w:t>
            </w:r>
            <w:r w:rsidR="00214205" w:rsidRPr="00EF41D4">
              <w:rPr>
                <w:rFonts w:ascii="Verdana" w:eastAsia="Times New Roman" w:hAnsi="Verdana"/>
                <w:color w:val="000000"/>
                <w:lang w:eastAsia="ru-RU"/>
              </w:rPr>
              <w:t>.3</w:t>
            </w:r>
          </w:p>
        </w:tc>
        <w:tc>
          <w:tcPr>
            <w:tcW w:w="1474" w:type="pct"/>
            <w:noWrap/>
            <w:hideMark/>
          </w:tcPr>
          <w:p w:rsidR="00214205" w:rsidRPr="00EF41D4" w:rsidRDefault="00EF41D4" w:rsidP="004D7450">
            <w:pPr>
              <w:spacing w:after="0" w:line="300" w:lineRule="auto"/>
              <w:contextualSpacing/>
              <w:jc w:val="both"/>
              <w:rPr>
                <w:rFonts w:ascii="Verdana" w:eastAsia="Times New Roman" w:hAnsi="Verdana"/>
                <w:color w:val="000000"/>
                <w:lang w:eastAsia="ru-RU"/>
              </w:rPr>
            </w:pPr>
            <w:r w:rsidRPr="00EF41D4">
              <w:rPr>
                <w:rFonts w:ascii="Verdana" w:eastAsia="Times New Roman" w:hAnsi="Verdana"/>
                <w:color w:val="000000"/>
                <w:lang w:eastAsia="ru-RU"/>
              </w:rPr>
              <w:t>Обеспечение процентных платежей</w:t>
            </w:r>
          </w:p>
        </w:tc>
        <w:tc>
          <w:tcPr>
            <w:tcW w:w="1282" w:type="pct"/>
            <w:hideMark/>
          </w:tcPr>
          <w:p w:rsidR="00214205" w:rsidRPr="00EF41D4" w:rsidRDefault="00EF41D4" w:rsidP="00B20C83">
            <w:pPr>
              <w:spacing w:after="0" w:line="300" w:lineRule="auto"/>
              <w:contextualSpacing/>
              <w:jc w:val="both"/>
              <w:rPr>
                <w:rFonts w:ascii="Verdana" w:eastAsia="Times New Roman" w:hAnsi="Verdana"/>
                <w:color w:val="000000"/>
                <w:lang w:eastAsia="ru-RU"/>
              </w:rPr>
            </w:pPr>
            <w:r w:rsidRPr="00EF41D4">
              <w:rPr>
                <w:rFonts w:ascii="Verdana" w:eastAsia="Times New Roman" w:hAnsi="Verdana"/>
                <w:color w:val="000000"/>
                <w:lang w:eastAsia="ru-RU"/>
              </w:rPr>
              <w:t xml:space="preserve">В соответствии с п.9 Методики </w:t>
            </w:r>
          </w:p>
        </w:tc>
        <w:tc>
          <w:tcPr>
            <w:tcW w:w="1094" w:type="pct"/>
            <w:noWrap/>
            <w:hideMark/>
          </w:tcPr>
          <w:p w:rsidR="00214205" w:rsidRPr="00EF41D4" w:rsidRDefault="00214205" w:rsidP="004D7450">
            <w:pPr>
              <w:spacing w:after="0" w:line="300" w:lineRule="auto"/>
              <w:contextualSpacing/>
              <w:rPr>
                <w:rFonts w:ascii="Verdana" w:eastAsia="Times New Roman" w:hAnsi="Verdana"/>
                <w:color w:val="000000"/>
                <w:lang w:eastAsia="ru-RU"/>
              </w:rPr>
            </w:pPr>
          </w:p>
        </w:tc>
      </w:tr>
    </w:tbl>
    <w:p w:rsidR="008A638C" w:rsidRDefault="008A638C" w:rsidP="00F2174E">
      <w:pPr>
        <w:tabs>
          <w:tab w:val="left" w:pos="1418"/>
        </w:tabs>
        <w:spacing w:after="0" w:line="300" w:lineRule="auto"/>
        <w:ind w:right="40"/>
        <w:contextualSpacing/>
        <w:jc w:val="center"/>
        <w:rPr>
          <w:rFonts w:ascii="Verdana" w:hAnsi="Verdana"/>
          <w:b/>
        </w:rPr>
      </w:pPr>
    </w:p>
    <w:sectPr w:rsidR="008A638C" w:rsidSect="00583C9D">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D1F" w:rsidRDefault="00642D1F" w:rsidP="009B7EB7">
      <w:pPr>
        <w:spacing w:after="0" w:line="240" w:lineRule="auto"/>
      </w:pPr>
      <w:r>
        <w:separator/>
      </w:r>
    </w:p>
  </w:endnote>
  <w:endnote w:type="continuationSeparator" w:id="0">
    <w:p w:rsidR="00642D1F" w:rsidRDefault="00642D1F" w:rsidP="009B7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D1F" w:rsidRDefault="00642D1F" w:rsidP="009B7EB7">
      <w:pPr>
        <w:spacing w:after="0" w:line="240" w:lineRule="auto"/>
      </w:pPr>
      <w:r>
        <w:separator/>
      </w:r>
    </w:p>
  </w:footnote>
  <w:footnote w:type="continuationSeparator" w:id="0">
    <w:p w:rsidR="00642D1F" w:rsidRDefault="00642D1F" w:rsidP="009B7EB7">
      <w:pPr>
        <w:spacing w:after="0" w:line="240" w:lineRule="auto"/>
      </w:pPr>
      <w:r>
        <w:continuationSeparator/>
      </w:r>
    </w:p>
  </w:footnote>
  <w:footnote w:id="1">
    <w:p w:rsidR="00214205" w:rsidRPr="00BB192A" w:rsidRDefault="00214205" w:rsidP="005F41EB">
      <w:pPr>
        <w:spacing w:after="0" w:line="300" w:lineRule="auto"/>
        <w:contextualSpacing/>
        <w:jc w:val="both"/>
        <w:rPr>
          <w:rFonts w:ascii="Verdana" w:hAnsi="Verdana" w:cs="Arial"/>
          <w:sz w:val="18"/>
          <w:szCs w:val="18"/>
        </w:rPr>
      </w:pPr>
      <w:r w:rsidRPr="008C1735">
        <w:rPr>
          <w:rStyle w:val="a8"/>
          <w:rFonts w:ascii="Verdana" w:hAnsi="Verdana"/>
          <w:sz w:val="16"/>
          <w:szCs w:val="16"/>
        </w:rPr>
        <w:footnoteRef/>
      </w:r>
      <w:r w:rsidRPr="008C1735">
        <w:rPr>
          <w:rFonts w:ascii="Verdana" w:hAnsi="Verdana"/>
          <w:sz w:val="16"/>
          <w:szCs w:val="16"/>
        </w:rPr>
        <w:t xml:space="preserve"> </w:t>
      </w:r>
      <w:r w:rsidR="00961D42" w:rsidRPr="00BB192A">
        <w:rPr>
          <w:rFonts w:ascii="Verdana" w:hAnsi="Verdana"/>
          <w:sz w:val="18"/>
          <w:szCs w:val="18"/>
        </w:rPr>
        <w:t>Расчет</w:t>
      </w:r>
      <w:r w:rsidRPr="00BB192A">
        <w:rPr>
          <w:rFonts w:ascii="Verdana" w:hAnsi="Verdana"/>
          <w:sz w:val="18"/>
          <w:szCs w:val="18"/>
        </w:rPr>
        <w:t xml:space="preserve"> показателей </w:t>
      </w:r>
      <w:r w:rsidR="00961D42" w:rsidRPr="00BB192A">
        <w:rPr>
          <w:rFonts w:ascii="Verdana" w:hAnsi="Verdana"/>
          <w:sz w:val="18"/>
          <w:szCs w:val="18"/>
        </w:rPr>
        <w:t xml:space="preserve">осуществляется </w:t>
      </w:r>
      <w:r w:rsidR="00B20C83" w:rsidRPr="00BB192A">
        <w:rPr>
          <w:rFonts w:ascii="Verdana" w:hAnsi="Verdana"/>
          <w:sz w:val="18"/>
          <w:szCs w:val="18"/>
        </w:rPr>
        <w:t>в соответствии с Методикой расчета показателей</w:t>
      </w:r>
      <w:r w:rsidR="00346BBB" w:rsidRPr="00BB192A">
        <w:rPr>
          <w:rFonts w:ascii="Verdana" w:hAnsi="Verdana"/>
          <w:sz w:val="18"/>
          <w:szCs w:val="18"/>
        </w:rPr>
        <w:t>, установленной приложением № 24.2 к Правилам</w:t>
      </w:r>
      <w:r w:rsidR="005F41EB" w:rsidRPr="00BB192A">
        <w:rPr>
          <w:rFonts w:ascii="Verdana" w:hAnsi="Verdana"/>
          <w:sz w:val="18"/>
          <w:szCs w:val="18"/>
        </w:rPr>
        <w:t>.</w:t>
      </w:r>
    </w:p>
  </w:footnote>
  <w:footnote w:id="2">
    <w:p w:rsidR="00C24D46" w:rsidRDefault="00C24D46">
      <w:pPr>
        <w:pStyle w:val="a6"/>
      </w:pPr>
      <w:r w:rsidRPr="00BB192A">
        <w:rPr>
          <w:rStyle w:val="a8"/>
          <w:rFonts w:ascii="Verdana" w:hAnsi="Verdana"/>
          <w:sz w:val="18"/>
          <w:szCs w:val="18"/>
        </w:rPr>
        <w:t>2</w:t>
      </w:r>
      <w:r w:rsidRPr="00BB192A">
        <w:rPr>
          <w:rFonts w:ascii="Verdana" w:hAnsi="Verdana"/>
          <w:sz w:val="18"/>
          <w:szCs w:val="18"/>
        </w:rPr>
        <w:t xml:space="preserve"> </w:t>
      </w:r>
      <w:r w:rsidR="00E812B8">
        <w:rPr>
          <w:rFonts w:ascii="Verdana" w:hAnsi="Verdana"/>
          <w:iCs/>
          <w:sz w:val="18"/>
          <w:szCs w:val="18"/>
        </w:rPr>
        <w:t>Среднегодовое значение</w:t>
      </w:r>
      <w:r w:rsidR="00F06BC9">
        <w:rPr>
          <w:rFonts w:ascii="Verdana" w:hAnsi="Verdana"/>
          <w:iCs/>
          <w:sz w:val="18"/>
          <w:szCs w:val="18"/>
        </w:rPr>
        <w:t>, рассчитываемое на эксплуатационной фазе проекта</w:t>
      </w:r>
      <w:r w:rsidRPr="00BB192A">
        <w:rPr>
          <w:rFonts w:ascii="Verdana" w:hAnsi="Verdana"/>
          <w:iCs/>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026D5"/>
    <w:multiLevelType w:val="multilevel"/>
    <w:tmpl w:val="0060B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26BD1"/>
    <w:multiLevelType w:val="hybridMultilevel"/>
    <w:tmpl w:val="11B47E08"/>
    <w:lvl w:ilvl="0" w:tplc="DD6E80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6932B6"/>
    <w:multiLevelType w:val="hybridMultilevel"/>
    <w:tmpl w:val="5010C74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10E67283"/>
    <w:multiLevelType w:val="multilevel"/>
    <w:tmpl w:val="A97C6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B54F38"/>
    <w:multiLevelType w:val="hybridMultilevel"/>
    <w:tmpl w:val="429CB976"/>
    <w:lvl w:ilvl="0" w:tplc="DD6E805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4D626BA3"/>
    <w:multiLevelType w:val="hybridMultilevel"/>
    <w:tmpl w:val="26ACE1A0"/>
    <w:lvl w:ilvl="0" w:tplc="091A6F8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EAA11D9"/>
    <w:multiLevelType w:val="multilevel"/>
    <w:tmpl w:val="B538A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9D7E83"/>
    <w:multiLevelType w:val="hybridMultilevel"/>
    <w:tmpl w:val="62E41FB8"/>
    <w:lvl w:ilvl="0" w:tplc="DD6E80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87C4577"/>
    <w:multiLevelType w:val="hybridMultilevel"/>
    <w:tmpl w:val="30A0B6C4"/>
    <w:lvl w:ilvl="0" w:tplc="DD6E80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5511E3D"/>
    <w:multiLevelType w:val="hybridMultilevel"/>
    <w:tmpl w:val="6E3C538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66D3670B"/>
    <w:multiLevelType w:val="hybridMultilevel"/>
    <w:tmpl w:val="B22E4560"/>
    <w:lvl w:ilvl="0" w:tplc="DD6E805A">
      <w:start w:val="1"/>
      <w:numFmt w:val="bullet"/>
      <w:lvlText w:val=""/>
      <w:lvlJc w:val="left"/>
      <w:pPr>
        <w:ind w:left="789" w:hanging="360"/>
      </w:pPr>
      <w:rPr>
        <w:rFonts w:ascii="Symbol" w:hAnsi="Symbol"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11" w15:restartNumberingAfterBreak="0">
    <w:nsid w:val="678F258C"/>
    <w:multiLevelType w:val="multilevel"/>
    <w:tmpl w:val="58982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441830"/>
    <w:multiLevelType w:val="hybridMultilevel"/>
    <w:tmpl w:val="4D38DC86"/>
    <w:lvl w:ilvl="0" w:tplc="DD6E80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BD27FFE"/>
    <w:multiLevelType w:val="hybridMultilevel"/>
    <w:tmpl w:val="5010C74A"/>
    <w:lvl w:ilvl="0" w:tplc="0419000F">
      <w:start w:val="1"/>
      <w:numFmt w:val="decimal"/>
      <w:lvlText w:val="%1."/>
      <w:lvlJc w:val="left"/>
      <w:pPr>
        <w:ind w:left="764" w:hanging="360"/>
      </w:pPr>
    </w:lvl>
    <w:lvl w:ilvl="1" w:tplc="04190019" w:tentative="1">
      <w:start w:val="1"/>
      <w:numFmt w:val="lowerLetter"/>
      <w:lvlText w:val="%2."/>
      <w:lvlJc w:val="left"/>
      <w:pPr>
        <w:ind w:left="1484" w:hanging="360"/>
      </w:pPr>
    </w:lvl>
    <w:lvl w:ilvl="2" w:tplc="0419001B" w:tentative="1">
      <w:start w:val="1"/>
      <w:numFmt w:val="lowerRoman"/>
      <w:lvlText w:val="%3."/>
      <w:lvlJc w:val="right"/>
      <w:pPr>
        <w:ind w:left="2204" w:hanging="180"/>
      </w:pPr>
    </w:lvl>
    <w:lvl w:ilvl="3" w:tplc="0419000F" w:tentative="1">
      <w:start w:val="1"/>
      <w:numFmt w:val="decimal"/>
      <w:lvlText w:val="%4."/>
      <w:lvlJc w:val="left"/>
      <w:pPr>
        <w:ind w:left="2924" w:hanging="360"/>
      </w:pPr>
    </w:lvl>
    <w:lvl w:ilvl="4" w:tplc="04190019" w:tentative="1">
      <w:start w:val="1"/>
      <w:numFmt w:val="lowerLetter"/>
      <w:lvlText w:val="%5."/>
      <w:lvlJc w:val="left"/>
      <w:pPr>
        <w:ind w:left="3644" w:hanging="360"/>
      </w:pPr>
    </w:lvl>
    <w:lvl w:ilvl="5" w:tplc="0419001B" w:tentative="1">
      <w:start w:val="1"/>
      <w:numFmt w:val="lowerRoman"/>
      <w:lvlText w:val="%6."/>
      <w:lvlJc w:val="right"/>
      <w:pPr>
        <w:ind w:left="4364" w:hanging="180"/>
      </w:pPr>
    </w:lvl>
    <w:lvl w:ilvl="6" w:tplc="0419000F" w:tentative="1">
      <w:start w:val="1"/>
      <w:numFmt w:val="decimal"/>
      <w:lvlText w:val="%7."/>
      <w:lvlJc w:val="left"/>
      <w:pPr>
        <w:ind w:left="5084" w:hanging="360"/>
      </w:pPr>
    </w:lvl>
    <w:lvl w:ilvl="7" w:tplc="04190019" w:tentative="1">
      <w:start w:val="1"/>
      <w:numFmt w:val="lowerLetter"/>
      <w:lvlText w:val="%8."/>
      <w:lvlJc w:val="left"/>
      <w:pPr>
        <w:ind w:left="5804" w:hanging="360"/>
      </w:pPr>
    </w:lvl>
    <w:lvl w:ilvl="8" w:tplc="0419001B" w:tentative="1">
      <w:start w:val="1"/>
      <w:numFmt w:val="lowerRoman"/>
      <w:lvlText w:val="%9."/>
      <w:lvlJc w:val="right"/>
      <w:pPr>
        <w:ind w:left="6524" w:hanging="180"/>
      </w:pPr>
    </w:lvl>
  </w:abstractNum>
  <w:num w:numId="1">
    <w:abstractNumId w:val="4"/>
  </w:num>
  <w:num w:numId="2">
    <w:abstractNumId w:val="4"/>
  </w:num>
  <w:num w:numId="3">
    <w:abstractNumId w:val="4"/>
  </w:num>
  <w:num w:numId="4">
    <w:abstractNumId w:val="4"/>
  </w:num>
  <w:num w:numId="5">
    <w:abstractNumId w:val="5"/>
  </w:num>
  <w:num w:numId="6">
    <w:abstractNumId w:val="13"/>
  </w:num>
  <w:num w:numId="7">
    <w:abstractNumId w:val="10"/>
  </w:num>
  <w:num w:numId="8">
    <w:abstractNumId w:val="2"/>
  </w:num>
  <w:num w:numId="9">
    <w:abstractNumId w:val="6"/>
  </w:num>
  <w:num w:numId="10">
    <w:abstractNumId w:val="7"/>
  </w:num>
  <w:num w:numId="11">
    <w:abstractNumId w:val="9"/>
  </w:num>
  <w:num w:numId="12">
    <w:abstractNumId w:val="12"/>
  </w:num>
  <w:num w:numId="13">
    <w:abstractNumId w:val="8"/>
  </w:num>
  <w:num w:numId="14">
    <w:abstractNumId w:val="1"/>
  </w:num>
  <w:num w:numId="15">
    <w:abstractNumId w:val="11"/>
  </w:num>
  <w:num w:numId="16">
    <w:abstractNumId w:val="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E11"/>
    <w:rsid w:val="000000A7"/>
    <w:rsid w:val="000035D0"/>
    <w:rsid w:val="00011007"/>
    <w:rsid w:val="00021B75"/>
    <w:rsid w:val="00023984"/>
    <w:rsid w:val="0003295A"/>
    <w:rsid w:val="00033E4B"/>
    <w:rsid w:val="0005047D"/>
    <w:rsid w:val="00061C56"/>
    <w:rsid w:val="000664A4"/>
    <w:rsid w:val="0007569E"/>
    <w:rsid w:val="00094618"/>
    <w:rsid w:val="00096553"/>
    <w:rsid w:val="000D5C6B"/>
    <w:rsid w:val="000F1BDF"/>
    <w:rsid w:val="000F35D4"/>
    <w:rsid w:val="0010559E"/>
    <w:rsid w:val="00110FA2"/>
    <w:rsid w:val="00116B33"/>
    <w:rsid w:val="00141476"/>
    <w:rsid w:val="0015299B"/>
    <w:rsid w:val="001608F4"/>
    <w:rsid w:val="00176DE2"/>
    <w:rsid w:val="001B7660"/>
    <w:rsid w:val="001C7F7A"/>
    <w:rsid w:val="001E2ADA"/>
    <w:rsid w:val="001F4966"/>
    <w:rsid w:val="001F51E7"/>
    <w:rsid w:val="00204A15"/>
    <w:rsid w:val="00214205"/>
    <w:rsid w:val="002214E6"/>
    <w:rsid w:val="00222647"/>
    <w:rsid w:val="00226610"/>
    <w:rsid w:val="00236A40"/>
    <w:rsid w:val="00291532"/>
    <w:rsid w:val="002F2A16"/>
    <w:rsid w:val="002F6BD1"/>
    <w:rsid w:val="00302944"/>
    <w:rsid w:val="0033308E"/>
    <w:rsid w:val="003378CC"/>
    <w:rsid w:val="00346BBB"/>
    <w:rsid w:val="00351263"/>
    <w:rsid w:val="003561D9"/>
    <w:rsid w:val="003675AB"/>
    <w:rsid w:val="003A0E45"/>
    <w:rsid w:val="003A635A"/>
    <w:rsid w:val="003B6C6E"/>
    <w:rsid w:val="003C01A6"/>
    <w:rsid w:val="003C5F9A"/>
    <w:rsid w:val="003E5E65"/>
    <w:rsid w:val="003F496C"/>
    <w:rsid w:val="004278C2"/>
    <w:rsid w:val="004311A0"/>
    <w:rsid w:val="00433B0D"/>
    <w:rsid w:val="00434EFE"/>
    <w:rsid w:val="004522C8"/>
    <w:rsid w:val="00471DD2"/>
    <w:rsid w:val="00471F7F"/>
    <w:rsid w:val="0049328C"/>
    <w:rsid w:val="004A64DB"/>
    <w:rsid w:val="004D0E75"/>
    <w:rsid w:val="004D6F99"/>
    <w:rsid w:val="004D7450"/>
    <w:rsid w:val="004E4384"/>
    <w:rsid w:val="00505C6A"/>
    <w:rsid w:val="00512E30"/>
    <w:rsid w:val="005264E3"/>
    <w:rsid w:val="00526AA8"/>
    <w:rsid w:val="00532B55"/>
    <w:rsid w:val="005456E1"/>
    <w:rsid w:val="00554C26"/>
    <w:rsid w:val="00560C2D"/>
    <w:rsid w:val="00572FF9"/>
    <w:rsid w:val="00580731"/>
    <w:rsid w:val="00583C9D"/>
    <w:rsid w:val="0059694E"/>
    <w:rsid w:val="005A552D"/>
    <w:rsid w:val="005C37D9"/>
    <w:rsid w:val="005C6B8E"/>
    <w:rsid w:val="005F41EB"/>
    <w:rsid w:val="0064245D"/>
    <w:rsid w:val="00642D1F"/>
    <w:rsid w:val="00683BBE"/>
    <w:rsid w:val="006C104D"/>
    <w:rsid w:val="006E165D"/>
    <w:rsid w:val="006F1CB1"/>
    <w:rsid w:val="006F7A0B"/>
    <w:rsid w:val="00704558"/>
    <w:rsid w:val="00713DA9"/>
    <w:rsid w:val="00743D98"/>
    <w:rsid w:val="00752436"/>
    <w:rsid w:val="00757B61"/>
    <w:rsid w:val="007774B7"/>
    <w:rsid w:val="007827BB"/>
    <w:rsid w:val="00786615"/>
    <w:rsid w:val="007A0FA3"/>
    <w:rsid w:val="007B48AE"/>
    <w:rsid w:val="007C3B4C"/>
    <w:rsid w:val="007D5973"/>
    <w:rsid w:val="007E6FE4"/>
    <w:rsid w:val="007F2430"/>
    <w:rsid w:val="00804E79"/>
    <w:rsid w:val="00840C54"/>
    <w:rsid w:val="0084315B"/>
    <w:rsid w:val="0085124B"/>
    <w:rsid w:val="0085526D"/>
    <w:rsid w:val="00856131"/>
    <w:rsid w:val="00864AD6"/>
    <w:rsid w:val="0087001E"/>
    <w:rsid w:val="00875E11"/>
    <w:rsid w:val="008766E6"/>
    <w:rsid w:val="008820D6"/>
    <w:rsid w:val="00886D36"/>
    <w:rsid w:val="00892E85"/>
    <w:rsid w:val="0089680B"/>
    <w:rsid w:val="00897A10"/>
    <w:rsid w:val="008A638C"/>
    <w:rsid w:val="008B21D2"/>
    <w:rsid w:val="008C1735"/>
    <w:rsid w:val="008D345B"/>
    <w:rsid w:val="009053F7"/>
    <w:rsid w:val="00912F6D"/>
    <w:rsid w:val="009131B0"/>
    <w:rsid w:val="00914380"/>
    <w:rsid w:val="00915144"/>
    <w:rsid w:val="009213C9"/>
    <w:rsid w:val="009225EE"/>
    <w:rsid w:val="009263FC"/>
    <w:rsid w:val="00935D45"/>
    <w:rsid w:val="0093644D"/>
    <w:rsid w:val="00946220"/>
    <w:rsid w:val="00946EAE"/>
    <w:rsid w:val="009555C4"/>
    <w:rsid w:val="00961D42"/>
    <w:rsid w:val="009678CE"/>
    <w:rsid w:val="00970C2F"/>
    <w:rsid w:val="00971B87"/>
    <w:rsid w:val="0097305C"/>
    <w:rsid w:val="009760BA"/>
    <w:rsid w:val="009938A6"/>
    <w:rsid w:val="009B2DD9"/>
    <w:rsid w:val="009B3B43"/>
    <w:rsid w:val="009B7EB7"/>
    <w:rsid w:val="009C1220"/>
    <w:rsid w:val="009C3C43"/>
    <w:rsid w:val="009E3664"/>
    <w:rsid w:val="00A11BF0"/>
    <w:rsid w:val="00A31403"/>
    <w:rsid w:val="00A42B32"/>
    <w:rsid w:val="00A610A2"/>
    <w:rsid w:val="00A65FFC"/>
    <w:rsid w:val="00A74389"/>
    <w:rsid w:val="00AA64F7"/>
    <w:rsid w:val="00AE639C"/>
    <w:rsid w:val="00AF2122"/>
    <w:rsid w:val="00AF569D"/>
    <w:rsid w:val="00B1482E"/>
    <w:rsid w:val="00B15805"/>
    <w:rsid w:val="00B20C83"/>
    <w:rsid w:val="00B26E13"/>
    <w:rsid w:val="00B6090D"/>
    <w:rsid w:val="00B7369B"/>
    <w:rsid w:val="00BB192A"/>
    <w:rsid w:val="00BC1AE1"/>
    <w:rsid w:val="00BD1F13"/>
    <w:rsid w:val="00BD5101"/>
    <w:rsid w:val="00BE5061"/>
    <w:rsid w:val="00C24D46"/>
    <w:rsid w:val="00C371EB"/>
    <w:rsid w:val="00C40571"/>
    <w:rsid w:val="00C4068B"/>
    <w:rsid w:val="00C42DEE"/>
    <w:rsid w:val="00C50789"/>
    <w:rsid w:val="00C514DF"/>
    <w:rsid w:val="00C522D0"/>
    <w:rsid w:val="00C56A8E"/>
    <w:rsid w:val="00C57451"/>
    <w:rsid w:val="00C70D4B"/>
    <w:rsid w:val="00CD01C1"/>
    <w:rsid w:val="00CD09D2"/>
    <w:rsid w:val="00CD22C3"/>
    <w:rsid w:val="00CD272D"/>
    <w:rsid w:val="00CE64AF"/>
    <w:rsid w:val="00CE7899"/>
    <w:rsid w:val="00CF099C"/>
    <w:rsid w:val="00CF52D1"/>
    <w:rsid w:val="00D03332"/>
    <w:rsid w:val="00D30A69"/>
    <w:rsid w:val="00D32952"/>
    <w:rsid w:val="00D42EF8"/>
    <w:rsid w:val="00D47337"/>
    <w:rsid w:val="00D74FE7"/>
    <w:rsid w:val="00D7798A"/>
    <w:rsid w:val="00D8327D"/>
    <w:rsid w:val="00D97BD3"/>
    <w:rsid w:val="00DA5146"/>
    <w:rsid w:val="00DA5D7C"/>
    <w:rsid w:val="00DA5EBF"/>
    <w:rsid w:val="00DD458D"/>
    <w:rsid w:val="00DE1A3C"/>
    <w:rsid w:val="00DE20D7"/>
    <w:rsid w:val="00DF628B"/>
    <w:rsid w:val="00DF6B52"/>
    <w:rsid w:val="00E00461"/>
    <w:rsid w:val="00E05EC0"/>
    <w:rsid w:val="00E253E4"/>
    <w:rsid w:val="00E261A3"/>
    <w:rsid w:val="00E31CE7"/>
    <w:rsid w:val="00E37387"/>
    <w:rsid w:val="00E43512"/>
    <w:rsid w:val="00E44B85"/>
    <w:rsid w:val="00E45278"/>
    <w:rsid w:val="00E7170B"/>
    <w:rsid w:val="00E7635D"/>
    <w:rsid w:val="00E812B8"/>
    <w:rsid w:val="00E847BF"/>
    <w:rsid w:val="00E94B78"/>
    <w:rsid w:val="00EA26C4"/>
    <w:rsid w:val="00EA375F"/>
    <w:rsid w:val="00EC7CB1"/>
    <w:rsid w:val="00ED4501"/>
    <w:rsid w:val="00EF41D4"/>
    <w:rsid w:val="00F00D49"/>
    <w:rsid w:val="00F06BC9"/>
    <w:rsid w:val="00F075EE"/>
    <w:rsid w:val="00F113CF"/>
    <w:rsid w:val="00F2174E"/>
    <w:rsid w:val="00F24F7C"/>
    <w:rsid w:val="00F670AB"/>
    <w:rsid w:val="00F727C9"/>
    <w:rsid w:val="00F757DC"/>
    <w:rsid w:val="00FA298E"/>
    <w:rsid w:val="00FA2C2D"/>
    <w:rsid w:val="00FA7B25"/>
    <w:rsid w:val="00FC1A39"/>
    <w:rsid w:val="00FF66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943281-1369-4865-93F5-6A78934A8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08F4"/>
    <w:pPr>
      <w:suppressAutoHyphens/>
      <w:spacing w:after="200" w:line="276" w:lineRule="auto"/>
    </w:pPr>
    <w:rPr>
      <w:rFonts w:ascii="Calibri" w:eastAsia="Calibri" w:hAnsi="Calibri" w:cs="Times New Roman"/>
      <w:lang w:eastAsia="zh-CN"/>
    </w:rPr>
  </w:style>
  <w:style w:type="paragraph" w:styleId="1">
    <w:name w:val="heading 1"/>
    <w:basedOn w:val="a"/>
    <w:link w:val="10"/>
    <w:uiPriority w:val="9"/>
    <w:qFormat/>
    <w:rsid w:val="00DF628B"/>
    <w:pPr>
      <w:suppressAutoHyphens w:val="0"/>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UL,Абзац маркированнный,Содержание. 2 уровень,Абзац списка для документа,Список с узором,1,Нумерованый список,List Paragraph1,Маркер,Bullet Number,Bullet List,FooterText,numbered,lp1,f_Абзац 1,ПАРАГРАФ,Цветной список - Акцент 11,мой"/>
    <w:basedOn w:val="a"/>
    <w:link w:val="a4"/>
    <w:uiPriority w:val="34"/>
    <w:qFormat/>
    <w:rsid w:val="009B7EB7"/>
    <w:pPr>
      <w:widowControl w:val="0"/>
      <w:suppressAutoHyphens w:val="0"/>
      <w:autoSpaceDE w:val="0"/>
      <w:autoSpaceDN w:val="0"/>
      <w:spacing w:after="0" w:line="240" w:lineRule="auto"/>
      <w:ind w:left="981" w:right="178" w:firstLine="708"/>
      <w:jc w:val="both"/>
    </w:pPr>
    <w:rPr>
      <w:rFonts w:ascii="Times New Roman" w:eastAsia="Times New Roman" w:hAnsi="Times New Roman"/>
      <w:lang w:eastAsia="en-US"/>
    </w:rPr>
  </w:style>
  <w:style w:type="table" w:styleId="a5">
    <w:name w:val="Table Grid"/>
    <w:basedOn w:val="a1"/>
    <w:uiPriority w:val="39"/>
    <w:rsid w:val="009B7E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UL Знак,Абзац маркированнный Знак,Содержание. 2 уровень Знак,Абзац списка для документа Знак,Список с узором Знак,1 Знак,Нумерованый список Знак,List Paragraph1 Знак,Маркер Знак,Bullet Number Знак,Bullet List Знак,FooterText Знак"/>
    <w:link w:val="a3"/>
    <w:uiPriority w:val="34"/>
    <w:locked/>
    <w:rsid w:val="009B7EB7"/>
    <w:rPr>
      <w:rFonts w:ascii="Times New Roman" w:eastAsia="Times New Roman" w:hAnsi="Times New Roman" w:cs="Times New Roman"/>
    </w:rPr>
  </w:style>
  <w:style w:type="paragraph" w:styleId="a6">
    <w:name w:val="footnote text"/>
    <w:aliases w:val="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Знак,Текст сноски Знак3 Знак,Знак1,З,f,Знак2"/>
    <w:basedOn w:val="a"/>
    <w:link w:val="a7"/>
    <w:uiPriority w:val="99"/>
    <w:unhideWhenUsed/>
    <w:qFormat/>
    <w:rsid w:val="009B7EB7"/>
    <w:pPr>
      <w:widowControl w:val="0"/>
      <w:suppressAutoHyphens w:val="0"/>
      <w:autoSpaceDE w:val="0"/>
      <w:autoSpaceDN w:val="0"/>
      <w:spacing w:after="0" w:line="240" w:lineRule="auto"/>
    </w:pPr>
    <w:rPr>
      <w:rFonts w:ascii="Times New Roman" w:eastAsia="Times New Roman" w:hAnsi="Times New Roman"/>
      <w:sz w:val="20"/>
      <w:szCs w:val="20"/>
      <w:lang w:eastAsia="en-US"/>
    </w:rPr>
  </w:style>
  <w:style w:type="character" w:customStyle="1" w:styleId="a7">
    <w:name w:val="Текст сноски Знак"/>
    <w:aliases w:val="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нак Знак,Знак1 Знак,З Знак"/>
    <w:basedOn w:val="a0"/>
    <w:link w:val="a6"/>
    <w:uiPriority w:val="99"/>
    <w:rsid w:val="009B7EB7"/>
    <w:rPr>
      <w:rFonts w:ascii="Times New Roman" w:eastAsia="Times New Roman" w:hAnsi="Times New Roman" w:cs="Times New Roman"/>
      <w:sz w:val="20"/>
      <w:szCs w:val="20"/>
    </w:rPr>
  </w:style>
  <w:style w:type="character" w:styleId="a8">
    <w:name w:val="footnote reference"/>
    <w:aliases w:val="Знак сноски-FN,Ciae niinee-FN,Знак сноски 1,fr,Used by Word for Help footnote symbols,Ссылка на сноску 45,Footnote Reference Number,анкета сноска,Referencia nota al pie,Ciae niinee 1,SUPERS,Appel note de bas de page,ОР,Footnotes refs,ftref"/>
    <w:basedOn w:val="a0"/>
    <w:link w:val="11"/>
    <w:uiPriority w:val="99"/>
    <w:unhideWhenUsed/>
    <w:qFormat/>
    <w:rsid w:val="009B7EB7"/>
    <w:rPr>
      <w:vertAlign w:val="superscript"/>
    </w:rPr>
  </w:style>
  <w:style w:type="paragraph" w:customStyle="1" w:styleId="11">
    <w:name w:val="Знак сноски1"/>
    <w:link w:val="a8"/>
    <w:uiPriority w:val="99"/>
    <w:qFormat/>
    <w:rsid w:val="0097305C"/>
    <w:pPr>
      <w:spacing w:after="0" w:line="240" w:lineRule="auto"/>
    </w:pPr>
    <w:rPr>
      <w:vertAlign w:val="superscript"/>
    </w:rPr>
  </w:style>
  <w:style w:type="paragraph" w:styleId="a9">
    <w:name w:val="Normal (Web)"/>
    <w:basedOn w:val="a"/>
    <w:uiPriority w:val="99"/>
    <w:unhideWhenUsed/>
    <w:rsid w:val="0097305C"/>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styleId="aa">
    <w:name w:val="Balloon Text"/>
    <w:basedOn w:val="a"/>
    <w:link w:val="ab"/>
    <w:uiPriority w:val="99"/>
    <w:semiHidden/>
    <w:unhideWhenUsed/>
    <w:rsid w:val="00A42B32"/>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A42B32"/>
    <w:rPr>
      <w:rFonts w:ascii="Segoe UI" w:eastAsia="Calibri" w:hAnsi="Segoe UI" w:cs="Segoe UI"/>
      <w:sz w:val="18"/>
      <w:szCs w:val="18"/>
      <w:lang w:eastAsia="zh-CN"/>
    </w:rPr>
  </w:style>
  <w:style w:type="character" w:styleId="ac">
    <w:name w:val="annotation reference"/>
    <w:basedOn w:val="a0"/>
    <w:uiPriority w:val="99"/>
    <w:semiHidden/>
    <w:unhideWhenUsed/>
    <w:rsid w:val="00A65FFC"/>
    <w:rPr>
      <w:sz w:val="16"/>
      <w:szCs w:val="16"/>
    </w:rPr>
  </w:style>
  <w:style w:type="paragraph" w:styleId="ad">
    <w:name w:val="annotation text"/>
    <w:basedOn w:val="a"/>
    <w:link w:val="ae"/>
    <w:uiPriority w:val="99"/>
    <w:semiHidden/>
    <w:unhideWhenUsed/>
    <w:rsid w:val="00A65FFC"/>
    <w:pPr>
      <w:spacing w:line="240" w:lineRule="auto"/>
    </w:pPr>
    <w:rPr>
      <w:sz w:val="20"/>
      <w:szCs w:val="20"/>
    </w:rPr>
  </w:style>
  <w:style w:type="character" w:customStyle="1" w:styleId="ae">
    <w:name w:val="Текст примечания Знак"/>
    <w:basedOn w:val="a0"/>
    <w:link w:val="ad"/>
    <w:uiPriority w:val="99"/>
    <w:semiHidden/>
    <w:rsid w:val="00A65FFC"/>
    <w:rPr>
      <w:rFonts w:ascii="Calibri" w:eastAsia="Calibri" w:hAnsi="Calibri" w:cs="Times New Roman"/>
      <w:sz w:val="20"/>
      <w:szCs w:val="20"/>
      <w:lang w:eastAsia="zh-CN"/>
    </w:rPr>
  </w:style>
  <w:style w:type="paragraph" w:styleId="af">
    <w:name w:val="annotation subject"/>
    <w:basedOn w:val="ad"/>
    <w:next w:val="ad"/>
    <w:link w:val="af0"/>
    <w:uiPriority w:val="99"/>
    <w:semiHidden/>
    <w:unhideWhenUsed/>
    <w:rsid w:val="00A65FFC"/>
    <w:rPr>
      <w:b/>
      <w:bCs/>
    </w:rPr>
  </w:style>
  <w:style w:type="character" w:customStyle="1" w:styleId="af0">
    <w:name w:val="Тема примечания Знак"/>
    <w:basedOn w:val="ae"/>
    <w:link w:val="af"/>
    <w:uiPriority w:val="99"/>
    <w:semiHidden/>
    <w:rsid w:val="00A65FFC"/>
    <w:rPr>
      <w:rFonts w:ascii="Calibri" w:eastAsia="Calibri" w:hAnsi="Calibri" w:cs="Times New Roman"/>
      <w:b/>
      <w:bCs/>
      <w:sz w:val="20"/>
      <w:szCs w:val="20"/>
      <w:lang w:eastAsia="zh-CN"/>
    </w:rPr>
  </w:style>
  <w:style w:type="character" w:styleId="af1">
    <w:name w:val="Strong"/>
    <w:basedOn w:val="a0"/>
    <w:uiPriority w:val="22"/>
    <w:qFormat/>
    <w:rsid w:val="00786615"/>
    <w:rPr>
      <w:b/>
      <w:bCs/>
    </w:rPr>
  </w:style>
  <w:style w:type="character" w:customStyle="1" w:styleId="10">
    <w:name w:val="Заголовок 1 Знак"/>
    <w:basedOn w:val="a0"/>
    <w:link w:val="1"/>
    <w:uiPriority w:val="9"/>
    <w:rsid w:val="00DF628B"/>
    <w:rPr>
      <w:rFonts w:ascii="Times New Roman" w:eastAsia="Times New Roman" w:hAnsi="Times New Roman" w:cs="Times New Roman"/>
      <w:b/>
      <w:bCs/>
      <w:kern w:val="36"/>
      <w:sz w:val="48"/>
      <w:szCs w:val="48"/>
      <w:lang w:eastAsia="ru-RU"/>
    </w:rPr>
  </w:style>
  <w:style w:type="character" w:styleId="af2">
    <w:name w:val="Hyperlink"/>
    <w:basedOn w:val="a0"/>
    <w:uiPriority w:val="99"/>
    <w:unhideWhenUsed/>
    <w:rsid w:val="00DF628B"/>
    <w:rPr>
      <w:color w:val="0563C1" w:themeColor="hyperlink"/>
      <w:u w:val="single"/>
    </w:rPr>
  </w:style>
  <w:style w:type="character" w:styleId="af3">
    <w:name w:val="FollowedHyperlink"/>
    <w:basedOn w:val="a0"/>
    <w:uiPriority w:val="99"/>
    <w:semiHidden/>
    <w:unhideWhenUsed/>
    <w:rsid w:val="007B48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02637">
      <w:bodyDiv w:val="1"/>
      <w:marLeft w:val="0"/>
      <w:marRight w:val="0"/>
      <w:marTop w:val="0"/>
      <w:marBottom w:val="0"/>
      <w:divBdr>
        <w:top w:val="none" w:sz="0" w:space="0" w:color="auto"/>
        <w:left w:val="none" w:sz="0" w:space="0" w:color="auto"/>
        <w:bottom w:val="none" w:sz="0" w:space="0" w:color="auto"/>
        <w:right w:val="none" w:sz="0" w:space="0" w:color="auto"/>
      </w:divBdr>
    </w:div>
    <w:div w:id="462117895">
      <w:bodyDiv w:val="1"/>
      <w:marLeft w:val="0"/>
      <w:marRight w:val="0"/>
      <w:marTop w:val="0"/>
      <w:marBottom w:val="0"/>
      <w:divBdr>
        <w:top w:val="none" w:sz="0" w:space="0" w:color="auto"/>
        <w:left w:val="none" w:sz="0" w:space="0" w:color="auto"/>
        <w:bottom w:val="none" w:sz="0" w:space="0" w:color="auto"/>
        <w:right w:val="none" w:sz="0" w:space="0" w:color="auto"/>
      </w:divBdr>
    </w:div>
    <w:div w:id="475102211">
      <w:bodyDiv w:val="1"/>
      <w:marLeft w:val="0"/>
      <w:marRight w:val="0"/>
      <w:marTop w:val="0"/>
      <w:marBottom w:val="0"/>
      <w:divBdr>
        <w:top w:val="none" w:sz="0" w:space="0" w:color="auto"/>
        <w:left w:val="none" w:sz="0" w:space="0" w:color="auto"/>
        <w:bottom w:val="none" w:sz="0" w:space="0" w:color="auto"/>
        <w:right w:val="none" w:sz="0" w:space="0" w:color="auto"/>
      </w:divBdr>
    </w:div>
    <w:div w:id="816605347">
      <w:bodyDiv w:val="1"/>
      <w:marLeft w:val="0"/>
      <w:marRight w:val="0"/>
      <w:marTop w:val="0"/>
      <w:marBottom w:val="0"/>
      <w:divBdr>
        <w:top w:val="none" w:sz="0" w:space="0" w:color="auto"/>
        <w:left w:val="none" w:sz="0" w:space="0" w:color="auto"/>
        <w:bottom w:val="none" w:sz="0" w:space="0" w:color="auto"/>
        <w:right w:val="none" w:sz="0" w:space="0" w:color="auto"/>
      </w:divBdr>
    </w:div>
    <w:div w:id="827206510">
      <w:bodyDiv w:val="1"/>
      <w:marLeft w:val="0"/>
      <w:marRight w:val="0"/>
      <w:marTop w:val="0"/>
      <w:marBottom w:val="0"/>
      <w:divBdr>
        <w:top w:val="none" w:sz="0" w:space="0" w:color="auto"/>
        <w:left w:val="none" w:sz="0" w:space="0" w:color="auto"/>
        <w:bottom w:val="none" w:sz="0" w:space="0" w:color="auto"/>
        <w:right w:val="none" w:sz="0" w:space="0" w:color="auto"/>
      </w:divBdr>
    </w:div>
    <w:div w:id="1104837372">
      <w:bodyDiv w:val="1"/>
      <w:marLeft w:val="0"/>
      <w:marRight w:val="0"/>
      <w:marTop w:val="0"/>
      <w:marBottom w:val="0"/>
      <w:divBdr>
        <w:top w:val="none" w:sz="0" w:space="0" w:color="auto"/>
        <w:left w:val="none" w:sz="0" w:space="0" w:color="auto"/>
        <w:bottom w:val="none" w:sz="0" w:space="0" w:color="auto"/>
        <w:right w:val="none" w:sz="0" w:space="0" w:color="auto"/>
      </w:divBdr>
    </w:div>
    <w:div w:id="1112018875">
      <w:bodyDiv w:val="1"/>
      <w:marLeft w:val="0"/>
      <w:marRight w:val="0"/>
      <w:marTop w:val="0"/>
      <w:marBottom w:val="0"/>
      <w:divBdr>
        <w:top w:val="none" w:sz="0" w:space="0" w:color="auto"/>
        <w:left w:val="none" w:sz="0" w:space="0" w:color="auto"/>
        <w:bottom w:val="none" w:sz="0" w:space="0" w:color="auto"/>
        <w:right w:val="none" w:sz="0" w:space="0" w:color="auto"/>
      </w:divBdr>
    </w:div>
    <w:div w:id="1150636740">
      <w:bodyDiv w:val="1"/>
      <w:marLeft w:val="0"/>
      <w:marRight w:val="0"/>
      <w:marTop w:val="0"/>
      <w:marBottom w:val="0"/>
      <w:divBdr>
        <w:top w:val="none" w:sz="0" w:space="0" w:color="auto"/>
        <w:left w:val="none" w:sz="0" w:space="0" w:color="auto"/>
        <w:bottom w:val="none" w:sz="0" w:space="0" w:color="auto"/>
        <w:right w:val="none" w:sz="0" w:space="0" w:color="auto"/>
      </w:divBdr>
    </w:div>
    <w:div w:id="1742023915">
      <w:bodyDiv w:val="1"/>
      <w:marLeft w:val="0"/>
      <w:marRight w:val="0"/>
      <w:marTop w:val="0"/>
      <w:marBottom w:val="0"/>
      <w:divBdr>
        <w:top w:val="none" w:sz="0" w:space="0" w:color="auto"/>
        <w:left w:val="none" w:sz="0" w:space="0" w:color="auto"/>
        <w:bottom w:val="none" w:sz="0" w:space="0" w:color="auto"/>
        <w:right w:val="none" w:sz="0" w:space="0" w:color="auto"/>
      </w:divBdr>
    </w:div>
    <w:div w:id="1828011727">
      <w:bodyDiv w:val="1"/>
      <w:marLeft w:val="0"/>
      <w:marRight w:val="0"/>
      <w:marTop w:val="0"/>
      <w:marBottom w:val="0"/>
      <w:divBdr>
        <w:top w:val="none" w:sz="0" w:space="0" w:color="auto"/>
        <w:left w:val="none" w:sz="0" w:space="0" w:color="auto"/>
        <w:bottom w:val="none" w:sz="0" w:space="0" w:color="auto"/>
        <w:right w:val="none" w:sz="0" w:space="0" w:color="auto"/>
      </w:divBdr>
    </w:div>
    <w:div w:id="1885870423">
      <w:bodyDiv w:val="1"/>
      <w:marLeft w:val="0"/>
      <w:marRight w:val="0"/>
      <w:marTop w:val="0"/>
      <w:marBottom w:val="0"/>
      <w:divBdr>
        <w:top w:val="none" w:sz="0" w:space="0" w:color="auto"/>
        <w:left w:val="none" w:sz="0" w:space="0" w:color="auto"/>
        <w:bottom w:val="none" w:sz="0" w:space="0" w:color="auto"/>
        <w:right w:val="none" w:sz="0" w:space="0" w:color="auto"/>
      </w:divBdr>
    </w:div>
    <w:div w:id="1931692143">
      <w:bodyDiv w:val="1"/>
      <w:marLeft w:val="0"/>
      <w:marRight w:val="0"/>
      <w:marTop w:val="0"/>
      <w:marBottom w:val="0"/>
      <w:divBdr>
        <w:top w:val="none" w:sz="0" w:space="0" w:color="auto"/>
        <w:left w:val="none" w:sz="0" w:space="0" w:color="auto"/>
        <w:bottom w:val="none" w:sz="0" w:space="0" w:color="auto"/>
        <w:right w:val="none" w:sz="0" w:space="0" w:color="auto"/>
      </w:divBdr>
    </w:div>
    <w:div w:id="2053571936">
      <w:bodyDiv w:val="1"/>
      <w:marLeft w:val="0"/>
      <w:marRight w:val="0"/>
      <w:marTop w:val="0"/>
      <w:marBottom w:val="0"/>
      <w:divBdr>
        <w:top w:val="none" w:sz="0" w:space="0" w:color="auto"/>
        <w:left w:val="none" w:sz="0" w:space="0" w:color="auto"/>
        <w:bottom w:val="none" w:sz="0" w:space="0" w:color="auto"/>
        <w:right w:val="none" w:sz="0" w:space="0" w:color="auto"/>
      </w:divBdr>
    </w:div>
    <w:div w:id="2074085074">
      <w:bodyDiv w:val="1"/>
      <w:marLeft w:val="0"/>
      <w:marRight w:val="0"/>
      <w:marTop w:val="0"/>
      <w:marBottom w:val="0"/>
      <w:divBdr>
        <w:top w:val="none" w:sz="0" w:space="0" w:color="auto"/>
        <w:left w:val="none" w:sz="0" w:space="0" w:color="auto"/>
        <w:bottom w:val="none" w:sz="0" w:space="0" w:color="auto"/>
        <w:right w:val="none" w:sz="0" w:space="0" w:color="auto"/>
      </w:divBdr>
    </w:div>
    <w:div w:id="2092696874">
      <w:bodyDiv w:val="1"/>
      <w:marLeft w:val="0"/>
      <w:marRight w:val="0"/>
      <w:marTop w:val="0"/>
      <w:marBottom w:val="0"/>
      <w:divBdr>
        <w:top w:val="none" w:sz="0" w:space="0" w:color="auto"/>
        <w:left w:val="none" w:sz="0" w:space="0" w:color="auto"/>
        <w:bottom w:val="none" w:sz="0" w:space="0" w:color="auto"/>
        <w:right w:val="none" w:sz="0" w:space="0" w:color="auto"/>
      </w:divBdr>
    </w:div>
    <w:div w:id="211643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0EB05-48C0-4394-A2B5-C0C7C89FB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78</Words>
  <Characters>449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Радин Михаил Александрович</dc:creator>
  <cp:keywords/>
  <dc:description/>
  <cp:lastModifiedBy>Базяева Юлия Ромовна</cp:lastModifiedBy>
  <cp:revision>13</cp:revision>
  <dcterms:created xsi:type="dcterms:W3CDTF">2025-08-21T11:49:00Z</dcterms:created>
  <dcterms:modified xsi:type="dcterms:W3CDTF">2026-01-12T09:23:00Z</dcterms:modified>
</cp:coreProperties>
</file>